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64989ABB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9D7A7D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</w:t>
            </w:r>
            <w:r w:rsidR="00222A09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C223BA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</w:t>
            </w:r>
            <w:r w:rsidR="00222A09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3EFF84FC" w:rsidR="005C2EC8" w:rsidRPr="00AB3E99" w:rsidRDefault="00F4170D" w:rsidP="00A9250B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Київській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0C01D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A9250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листопаді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A2ACC31" w:rsidR="005C2EC8" w:rsidRPr="002530AB" w:rsidRDefault="00005294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Київській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15918F72" w:rsidR="00183730" w:rsidRPr="000C01D6" w:rsidRDefault="005C2EC8" w:rsidP="00005294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xmlns:w16se="http://schemas.microsoft.com/office/word/2015/wordml/symex" xmlns:cx="http://schemas.microsoft.com/office/drawing/2014/chartex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="00005294" w:rsidRPr="008C2858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ww.</w:t>
            </w:r>
            <w:r w:rsidR="00005294" w:rsidRPr="00F04B67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>kyivobl.ukrstat</w:t>
            </w:r>
            <w:r w:rsidR="00005294" w:rsidRPr="000B4488">
              <w:rPr>
                <w:rFonts w:ascii="Calibri" w:hAnsi="Calibri" w:cs="Calibri"/>
              </w:rPr>
              <w:t>.</w:t>
            </w:r>
            <w:r w:rsidR="00005294" w:rsidRPr="008C2858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137CB03A" w14:textId="780BA6AA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xmlns:w16se="http://schemas.microsoft.com/office/word/2015/wordml/symex" xmlns:cx="http://schemas.microsoft.com/office/drawing/2014/chartex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F4170D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kous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F4170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kyivobl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F4170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F4170D" w:rsidRPr="000C01D6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31816315" w14:textId="5A56E6EE" w:rsidR="005C2EC8" w:rsidRPr="00E94112" w:rsidRDefault="005C2EC8" w:rsidP="00F417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F4170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044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F4170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486-86-14</w:t>
            </w:r>
          </w:p>
        </w:tc>
      </w:tr>
    </w:tbl>
    <w:p w14:paraId="0F87E6EC" w14:textId="7DC433A4" w:rsidR="00846C6B" w:rsidRDefault="00846C6B" w:rsidP="00A83C84">
      <w:pPr>
        <w:pStyle w:val="--12"/>
      </w:pPr>
    </w:p>
    <w:p w14:paraId="6F4A1B23" w14:textId="1836B11C" w:rsidR="000C01D6" w:rsidRDefault="000C01D6" w:rsidP="000C01D6">
      <w:pPr>
        <w:pStyle w:val="--12"/>
      </w:pPr>
      <w:r w:rsidRPr="00C04F50">
        <w:t xml:space="preserve">Ціни на споживчому ринку </w:t>
      </w:r>
      <w:r>
        <w:t xml:space="preserve">в </w:t>
      </w:r>
      <w:r w:rsidR="00F55B35">
        <w:t>листопаді</w:t>
      </w:r>
      <w:r w:rsidRPr="00C04F50">
        <w:t xml:space="preserve"> 202</w:t>
      </w:r>
      <w:r>
        <w:t>5</w:t>
      </w:r>
      <w:r w:rsidRPr="00C04F50">
        <w:t xml:space="preserve"> року по Київській області (без </w:t>
      </w:r>
      <w:proofErr w:type="spellStart"/>
      <w:r w:rsidRPr="00C04F50">
        <w:t>м.Києва</w:t>
      </w:r>
      <w:proofErr w:type="spellEnd"/>
      <w:r w:rsidRPr="00C04F50">
        <w:t>)</w:t>
      </w:r>
      <w:r w:rsidR="00F55B35">
        <w:t xml:space="preserve"> </w:t>
      </w:r>
      <w:r w:rsidRPr="00C04F50">
        <w:t xml:space="preserve">порівняно з </w:t>
      </w:r>
      <w:r w:rsidR="00F55B35">
        <w:t>жовтнем</w:t>
      </w:r>
      <w:r>
        <w:t xml:space="preserve"> зросли на 0,</w:t>
      </w:r>
      <w:r w:rsidR="00F55B35">
        <w:t>3</w:t>
      </w:r>
      <w:r>
        <w:t>%,</w:t>
      </w:r>
      <w:r w:rsidR="00F55B35">
        <w:t xml:space="preserve"> </w:t>
      </w:r>
      <w:r w:rsidRPr="00C04F50">
        <w:t xml:space="preserve">по Україні </w:t>
      </w:r>
      <w:r>
        <w:t>–</w:t>
      </w:r>
      <w:r w:rsidRPr="00C04F50">
        <w:t xml:space="preserve">на </w:t>
      </w:r>
      <w:r>
        <w:t>0,</w:t>
      </w:r>
      <w:r w:rsidR="00F55B35">
        <w:t>4</w:t>
      </w:r>
      <w:r>
        <w:t>%.</w:t>
      </w:r>
    </w:p>
    <w:p w14:paraId="090010C5" w14:textId="7F0B9F33" w:rsidR="000C01D6" w:rsidRPr="00CC2D62" w:rsidRDefault="000C01D6" w:rsidP="000C01D6">
      <w:pPr>
        <w:pStyle w:val="--12"/>
        <w:rPr>
          <w:rFonts w:cs="Times New Roman"/>
        </w:rPr>
      </w:pPr>
      <w:r w:rsidRPr="00027348">
        <w:t xml:space="preserve">З початку року споживчі ціни по області </w:t>
      </w:r>
      <w:r w:rsidRPr="00E43D8C">
        <w:t xml:space="preserve">підвищилися на </w:t>
      </w:r>
      <w:r>
        <w:t>7,</w:t>
      </w:r>
      <w:r w:rsidR="00F55B35">
        <w:t>9</w:t>
      </w:r>
      <w:r w:rsidRPr="00E43D8C">
        <w:t>%</w:t>
      </w:r>
      <w:r>
        <w:t xml:space="preserve">, </w:t>
      </w:r>
      <w:r w:rsidRPr="00C04F50">
        <w:t>по Україні</w:t>
      </w:r>
      <w:r>
        <w:t xml:space="preserve"> </w:t>
      </w:r>
      <w:r w:rsidRPr="00C04F50">
        <w:t xml:space="preserve">– на </w:t>
      </w:r>
      <w:r>
        <w:t>7,</w:t>
      </w:r>
      <w:r w:rsidR="00F55B35">
        <w:t>7</w:t>
      </w:r>
      <w:r w:rsidRPr="00C04F50">
        <w:t>%</w:t>
      </w:r>
      <w:r>
        <w:t>.</w:t>
      </w:r>
    </w:p>
    <w:p w14:paraId="1DEA26DA" w14:textId="624745BD" w:rsidR="00183730" w:rsidRDefault="00183730" w:rsidP="00183730">
      <w:pPr>
        <w:pStyle w:val="--12"/>
        <w:ind w:firstLine="0"/>
      </w:pPr>
    </w:p>
    <w:p w14:paraId="634B6163" w14:textId="77777777" w:rsidR="00A83C84" w:rsidRDefault="00A83C84" w:rsidP="00183730">
      <w:pPr>
        <w:pStyle w:val="--12"/>
        <w:ind w:firstLine="0"/>
        <w:sectPr w:rsidR="00A83C84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4E393692">
            <wp:extent cx="3000375" cy="1955165"/>
            <wp:effectExtent l="0" t="0" r="0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35E56C34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3BFA949E" w:rsidR="00464B9F" w:rsidRDefault="00451230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456CC6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37935EB2" w14:textId="77777777" w:rsidR="00451230" w:rsidRDefault="00451230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жовтня</w:t>
            </w:r>
          </w:p>
          <w:p w14:paraId="1539B511" w14:textId="685518B4" w:rsidR="00464B9F" w:rsidRDefault="00451230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638CFB0E" w14:textId="6C7EDBDE" w:rsidR="00451230" w:rsidRDefault="00451230" w:rsidP="00451230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</w:t>
            </w:r>
            <w:r w:rsidR="00F4211F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рудня</w:t>
            </w:r>
          </w:p>
          <w:p w14:paraId="05E256D9" w14:textId="32884152" w:rsidR="00464B9F" w:rsidRDefault="00F4211F" w:rsidP="00451230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 w:rsidR="00451230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0C01D6" w14:paraId="470AF59B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0C01D6" w:rsidRDefault="000C01D6" w:rsidP="000C01D6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133B730" w14:textId="3B7303C6" w:rsidR="000C01D6" w:rsidRDefault="006E4EE4" w:rsidP="000C01D6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78079329" w14:textId="19DCA5E6" w:rsidR="000C01D6" w:rsidRPr="006E4EE4" w:rsidRDefault="000C01D6" w:rsidP="006E4EE4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</w:rPr>
              <w:t>7</w:t>
            </w: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,</w:t>
            </w:r>
            <w:r w:rsidR="006E4EE4"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9</w:t>
            </w:r>
          </w:p>
        </w:tc>
      </w:tr>
      <w:tr w:rsidR="000C01D6" w14:paraId="26E532DA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97EFD0C" w14:textId="553DBA42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17BE9E7D" w14:textId="40FB7EB0" w:rsidR="000C01D6" w:rsidRDefault="007C0AAE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9,2</w:t>
            </w:r>
          </w:p>
        </w:tc>
      </w:tr>
      <w:tr w:rsidR="000C01D6" w14:paraId="7F255F5B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9B82381" w14:textId="194B6AD5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3836D6A4" w14:textId="45BCC038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8,4</w:t>
            </w:r>
          </w:p>
        </w:tc>
      </w:tr>
      <w:tr w:rsidR="000C01D6" w14:paraId="58B980C0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4EC449A" w14:textId="7D4E2905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67109784" w14:textId="42A049AC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8,6</w:t>
            </w:r>
          </w:p>
        </w:tc>
      </w:tr>
      <w:tr w:rsidR="000C01D6" w14:paraId="0EB17AF8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2E80234" w14:textId="3A889522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9A94C25" w14:textId="1A371E95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9,7</w:t>
            </w:r>
          </w:p>
        </w:tc>
      </w:tr>
      <w:tr w:rsidR="000C01D6" w14:paraId="78B1F1F8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BC32B53" w14:textId="24CE1DFB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9621235" w14:textId="4F9CFE76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8,1</w:t>
            </w:r>
          </w:p>
        </w:tc>
      </w:tr>
      <w:tr w:rsidR="000C01D6" w14:paraId="6485CAB5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113C636" w14:textId="2DF75B9A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4EA800A6" w14:textId="54DAE7E2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17,8</w:t>
            </w:r>
          </w:p>
        </w:tc>
      </w:tr>
      <w:tr w:rsidR="000C01D6" w14:paraId="12320FB1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65B87E0" w14:textId="058200C2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10786F2D" w14:textId="1F48F158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11,0</w:t>
            </w:r>
          </w:p>
        </w:tc>
      </w:tr>
      <w:tr w:rsidR="000C01D6" w14:paraId="5483A3E7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CD0827B" w14:textId="6763D5D6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262A6F31" w14:textId="7EB2753F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0C01D6" w14:paraId="41234D31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095C533" w14:textId="73ABCE45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–0,7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7CBAFF7A" w14:textId="4C5F6F65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3,3</w:t>
            </w:r>
          </w:p>
        </w:tc>
      </w:tr>
      <w:tr w:rsidR="000C01D6" w14:paraId="66A9A711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79F6F45" w14:textId="2115246E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A7C766B" w14:textId="044158E7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</w:tr>
      <w:tr w:rsidR="000C01D6" w14:paraId="0D104B52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E2BADE9" w14:textId="43235113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CBB8A60" w14:textId="59FC35E9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6,2</w:t>
            </w:r>
          </w:p>
        </w:tc>
      </w:tr>
      <w:tr w:rsidR="000C01D6" w14:paraId="209F2CFF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71F2BA8" w14:textId="3CEA19D3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31DAC1F8" w14:textId="063BA066" w:rsidR="000C01D6" w:rsidRDefault="007C0AAE" w:rsidP="008627BD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</w:t>
            </w:r>
            <w:r w:rsidR="008627BD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</w:t>
            </w:r>
          </w:p>
        </w:tc>
      </w:tr>
      <w:tr w:rsidR="000C01D6" w14:paraId="0FE30D0F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0F54A60" w14:textId="601E11B1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–6,4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D32E4F1" w14:textId="7AF13299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0C01D6" w14:paraId="7019EC9D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4403694" w14:textId="7C998A70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E7AB87C" w14:textId="122F1DDB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–28,5</w:t>
            </w:r>
          </w:p>
        </w:tc>
      </w:tr>
      <w:tr w:rsidR="000C01D6" w14:paraId="5BF866F6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C29CD4C" w14:textId="078D0E3B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–3,8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AB58E37" w14:textId="34992138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–12,3</w:t>
            </w:r>
          </w:p>
        </w:tc>
      </w:tr>
      <w:tr w:rsidR="000C01D6" w14:paraId="25B40A72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03CD896" w14:textId="496795BF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94DA06D" w14:textId="719C1FD5" w:rsidR="000C01D6" w:rsidRDefault="007C0AAE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18,2</w:t>
            </w:r>
          </w:p>
        </w:tc>
      </w:tr>
      <w:tr w:rsidR="000C01D6" w14:paraId="1C54BFDE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C93DCD1" w14:textId="25E88F96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2F8B2E78" w14:textId="0D7E1AF4" w:rsidR="000C01D6" w:rsidRDefault="007C0AAE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16,4</w:t>
            </w:r>
          </w:p>
        </w:tc>
      </w:tr>
      <w:tr w:rsidR="000C01D6" w14:paraId="595BE09A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A5E57A4" w14:textId="6CE47FC5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–1,3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055098C" w14:textId="39DCBDC2" w:rsidR="000C01D6" w:rsidRDefault="007C0AAE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0C01D6" w14:paraId="017539AD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0C01D6" w:rsidRDefault="000C01D6" w:rsidP="000C01D6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7112413" w14:textId="2BA837FD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–1,0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27A1B3A3" w14:textId="6581E0A1" w:rsidR="000C01D6" w:rsidRDefault="008627BD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9,3</w:t>
            </w:r>
            <w:bookmarkStart w:id="1" w:name="_GoBack"/>
            <w:bookmarkEnd w:id="1"/>
          </w:p>
        </w:tc>
      </w:tr>
      <w:tr w:rsidR="000C01D6" w14:paraId="53B129FD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0C01D6" w:rsidRDefault="000C01D6" w:rsidP="000C01D6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BFF42CB" w14:textId="01EACF16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–1,7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6AB24294" w14:textId="3EE7E648" w:rsidR="000C01D6" w:rsidRDefault="00032107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4,3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67C3B1D5" w14:textId="77777777" w:rsidR="00A83C84" w:rsidRDefault="00A83C84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4085CAD9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27468DDC" w:rsidR="00B128E5" w:rsidRDefault="00451230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B128E5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1B5CBD97" w14:textId="77777777" w:rsidR="00451230" w:rsidRDefault="00451230" w:rsidP="00451230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жовтня</w:t>
            </w:r>
          </w:p>
          <w:p w14:paraId="380FF788" w14:textId="4FE21442" w:rsidR="00B128E5" w:rsidRDefault="00451230" w:rsidP="00451230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169FE212" w14:textId="77777777" w:rsidR="00451230" w:rsidRDefault="00451230" w:rsidP="00451230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</w:t>
            </w:r>
          </w:p>
          <w:p w14:paraId="77C98EDB" w14:textId="0EB084D0" w:rsidR="00B128E5" w:rsidRDefault="00451230" w:rsidP="00451230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2024</w:t>
            </w:r>
          </w:p>
        </w:tc>
      </w:tr>
      <w:tr w:rsidR="000C01D6" w14:paraId="7CA5D5AB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399D679" w14:textId="28173BC3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auto"/>
              <w:right w:val="single" w:sz="6" w:space="0" w:color="22517D"/>
            </w:tcBorders>
            <w:shd w:val="clear" w:color="auto" w:fill="FFFFFF"/>
            <w:vAlign w:val="bottom"/>
          </w:tcPr>
          <w:p w14:paraId="2FC5B155" w14:textId="617A3B5C" w:rsidR="000C01D6" w:rsidRDefault="00032107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3,1</w:t>
            </w:r>
          </w:p>
        </w:tc>
      </w:tr>
      <w:tr w:rsidR="000C01D6" w14:paraId="38574D7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B5F3E95" w14:textId="1E5C673C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3FF0DB75" w14:textId="29442525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0C01D6" w14:paraId="3885A02D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531FC1F" w14:textId="59F12689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09A1EC75" w14:textId="3651C56C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0C01D6" w14:paraId="6995D234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2D26F57" w14:textId="13604963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1E063EB0" w14:textId="7A0F96EC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7,9</w:t>
            </w:r>
          </w:p>
        </w:tc>
      </w:tr>
      <w:tr w:rsidR="000C01D6" w14:paraId="796736F0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6CB3E25" w14:textId="6FEC18DA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2E1BDA93" w14:textId="431DE202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0C01D6" w14:paraId="267F07DD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C663276" w14:textId="4F8264BF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7AA7FFB" w14:textId="6C742D62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0C01D6" w14:paraId="3822A168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73762EA" w14:textId="585FCF79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72DA636D" w14:textId="3FFDED75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0C01D6" w14:paraId="2020185D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D8DBDA0" w14:textId="6EA737DC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71B08C8C" w14:textId="0B8B67DD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0C01D6" w14:paraId="185DB6F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D6A8DC9" w14:textId="2016EA23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3BCE26C5" w14:textId="7E1C5243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0C01D6" w14:paraId="716AAAAC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A8D6969" w14:textId="4D394DFD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–0,8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1E11E013" w14:textId="1F8CD166" w:rsidR="000C01D6" w:rsidRDefault="00032107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0C01D6" w14:paraId="4C5A6CA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75C2DBA" w14:textId="6ACA07BE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–0,9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06531D21" w14:textId="7849EFAC" w:rsidR="000C01D6" w:rsidRDefault="00032107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0C01D6" w14:paraId="19A6E21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7467BD5" w14:textId="59E6F6D1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–1,5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6097A96" w14:textId="477C8D79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0C01D6" w14:paraId="7C49B8BC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206B7AD" w14:textId="0C979049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16C14F40" w14:textId="104C3BB1" w:rsidR="000C01D6" w:rsidRDefault="00032107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11,9</w:t>
            </w:r>
          </w:p>
        </w:tc>
      </w:tr>
      <w:tr w:rsidR="000C01D6" w14:paraId="2A7379AA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0705302" w14:textId="2D870AA0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502D4E64" w14:textId="579ABBE2" w:rsidR="000C01D6" w:rsidRDefault="00032107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5,2</w:t>
            </w:r>
          </w:p>
        </w:tc>
      </w:tr>
      <w:tr w:rsidR="000C01D6" w14:paraId="132A8E02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2362038" w14:textId="30AF6841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717EAD1A" w14:textId="57993042" w:rsidR="000C01D6" w:rsidRDefault="00654D22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0C01D6" w14:paraId="57ADED9F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4CB290C" w14:textId="543F4E11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0F28BF3" w14:textId="2ADD3B3B" w:rsidR="000C01D6" w:rsidRDefault="00654D22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0C01D6" w14:paraId="787FFB38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FC8E448" w14:textId="1BA2D4D2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58EA91C5" w14:textId="04360574" w:rsidR="000C01D6" w:rsidRDefault="00654D22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</w:tr>
      <w:tr w:rsidR="000C01D6" w14:paraId="54CE2ECE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CEBEF35" w14:textId="50CB2C51" w:rsidR="000C01D6" w:rsidRDefault="005B6829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0244B1F4" w14:textId="277BDD67" w:rsidR="000C01D6" w:rsidRDefault="00654D22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0C01D6" w14:paraId="74EEDFCB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7982FDE" w14:textId="6E35BACB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4710FC5" w14:textId="55E97CFA" w:rsidR="000C01D6" w:rsidRDefault="00654D22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11,6</w:t>
            </w:r>
          </w:p>
        </w:tc>
      </w:tr>
      <w:tr w:rsidR="000C01D6" w14:paraId="6028202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6B2F5E7" w14:textId="1E4BE11A" w:rsidR="000C01D6" w:rsidRDefault="005B6829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A9087D1" w14:textId="796C6460" w:rsidR="000C01D6" w:rsidRDefault="00654D22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0C01D6" w14:paraId="7340EDA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BF0D7CE" w14:textId="59CAC8DF" w:rsidR="000C01D6" w:rsidRDefault="00593BAF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5193CAAF" w14:textId="4E53A3BF" w:rsidR="000C01D6" w:rsidRDefault="00654D22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17,1</w:t>
            </w:r>
          </w:p>
        </w:tc>
      </w:tr>
      <w:tr w:rsidR="000C01D6" w14:paraId="5FC3667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F509B77" w14:textId="5388F40B" w:rsidR="000C01D6" w:rsidRDefault="00593BAF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2,8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62691179" w14:textId="79BDAD60" w:rsidR="000C01D6" w:rsidRDefault="00654D22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14,6</w:t>
            </w:r>
          </w:p>
        </w:tc>
      </w:tr>
      <w:tr w:rsidR="000C01D6" w14:paraId="53E5D27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bottom w:val="single" w:sz="4" w:space="0" w:color="22517D"/>
            </w:tcBorders>
            <w:shd w:val="clear" w:color="auto" w:fill="FFFFFF"/>
            <w:vAlign w:val="bottom"/>
          </w:tcPr>
          <w:p w14:paraId="14D61471" w14:textId="48072C74" w:rsidR="000C01D6" w:rsidRDefault="00593BAF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tcBorders>
              <w:bottom w:val="single" w:sz="4" w:space="0" w:color="22517D"/>
              <w:right w:val="single" w:sz="6" w:space="0" w:color="22517D"/>
            </w:tcBorders>
            <w:shd w:val="clear" w:color="auto" w:fill="FFFFFF"/>
            <w:vAlign w:val="bottom"/>
          </w:tcPr>
          <w:p w14:paraId="73DAE001" w14:textId="7CB137A7" w:rsidR="000C01D6" w:rsidRDefault="00654D22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5,7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0F5CDAE7" w14:textId="38C42CB8" w:rsidR="000C01D6" w:rsidRPr="00450275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На споживчому ринку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в </w:t>
            </w:r>
            <w:r w:rsidR="000C4ED4">
              <w:rPr>
                <w:rFonts w:ascii="Calibri" w:hAnsi="Calibri" w:cs="Calibri"/>
                <w:color w:val="22517D"/>
                <w:sz w:val="22"/>
                <w:szCs w:val="22"/>
              </w:rPr>
              <w:t>листопаді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0C4ED4">
              <w:rPr>
                <w:rFonts w:ascii="Calibri" w:hAnsi="Calibri" w:cs="Calibri"/>
                <w:color w:val="22517D"/>
                <w:sz w:val="22"/>
                <w:szCs w:val="22"/>
              </w:rPr>
              <w:t>знизилися</w:t>
            </w:r>
            <w:r w:rsidR="000C4ED4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на </w:t>
            </w:r>
            <w:r w:rsidR="000C4ED4">
              <w:rPr>
                <w:rFonts w:ascii="Calibri" w:hAnsi="Calibri" w:cs="Calibri"/>
                <w:color w:val="22517D"/>
                <w:sz w:val="22"/>
                <w:szCs w:val="22"/>
              </w:rPr>
              <w:t>0,1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%. Найбільше на </w:t>
            </w:r>
            <w:r w:rsidR="00FE368F">
              <w:rPr>
                <w:rFonts w:ascii="Calibri" w:hAnsi="Calibri" w:cs="Calibri"/>
                <w:color w:val="22517D"/>
                <w:sz w:val="22"/>
                <w:szCs w:val="22"/>
              </w:rPr>
              <w:t>6,</w:t>
            </w:r>
            <w:r w:rsidR="00D832ED">
              <w:rPr>
                <w:rFonts w:ascii="Calibri" w:hAnsi="Calibri" w:cs="Calibri"/>
                <w:color w:val="22517D"/>
                <w:sz w:val="22"/>
                <w:szCs w:val="22"/>
              </w:rPr>
              <w:t>4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="003F241F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D832ED" w:rsidRPr="00D832ED">
              <w:rPr>
                <w:rFonts w:ascii="Calibri" w:hAnsi="Calibri" w:cs="Calibri"/>
                <w:color w:val="22517D"/>
                <w:sz w:val="22"/>
                <w:szCs w:val="22"/>
              </w:rPr>
              <w:t>подешевшали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D832ED">
              <w:rPr>
                <w:rFonts w:ascii="Calibri" w:hAnsi="Calibri" w:cs="Calibri"/>
                <w:color w:val="22517D"/>
                <w:sz w:val="22"/>
                <w:szCs w:val="22"/>
              </w:rPr>
              <w:t>фрукти</w:t>
            </w:r>
            <w:r w:rsidR="00402A08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.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На </w:t>
            </w:r>
            <w:r w:rsidR="00402A08">
              <w:rPr>
                <w:rFonts w:ascii="Calibri" w:hAnsi="Calibri" w:cs="Calibri"/>
                <w:color w:val="22517D"/>
                <w:sz w:val="22"/>
                <w:szCs w:val="22"/>
              </w:rPr>
              <w:t>5,5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–</w:t>
            </w:r>
            <w:r w:rsidR="00402A08">
              <w:rPr>
                <w:rFonts w:ascii="Calibri" w:hAnsi="Calibri" w:cs="Calibri"/>
                <w:color w:val="22517D"/>
                <w:sz w:val="22"/>
                <w:szCs w:val="22"/>
              </w:rPr>
              <w:t>3,5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46258D" w:rsidRPr="0046258D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знизилися ціни на </w:t>
            </w:r>
            <w:r w:rsidR="00AC569A">
              <w:rPr>
                <w:rFonts w:ascii="Calibri" w:hAnsi="Calibri" w:cs="Calibri"/>
                <w:color w:val="22517D"/>
                <w:sz w:val="22"/>
                <w:szCs w:val="22"/>
              </w:rPr>
              <w:t>свинину,</w:t>
            </w:r>
            <w:r w:rsidR="00AC569A" w:rsidRPr="0046258D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46258D" w:rsidRPr="0046258D">
              <w:rPr>
                <w:rFonts w:ascii="Calibri" w:hAnsi="Calibri" w:cs="Calibri"/>
                <w:color w:val="22517D"/>
                <w:sz w:val="22"/>
                <w:szCs w:val="22"/>
              </w:rPr>
              <w:t>цукор</w:t>
            </w:r>
            <w:r w:rsidR="005E125E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402A08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та </w:t>
            </w:r>
            <w:r w:rsidR="005E125E">
              <w:rPr>
                <w:rFonts w:ascii="Calibri" w:hAnsi="Calibri" w:cs="Calibri"/>
                <w:color w:val="22517D"/>
                <w:sz w:val="22"/>
                <w:szCs w:val="22"/>
              </w:rPr>
              <w:t>м’ясо птиці</w:t>
            </w:r>
            <w:r w:rsidR="00402A08">
              <w:rPr>
                <w:rFonts w:ascii="Calibri" w:hAnsi="Calibri" w:cs="Calibri"/>
                <w:color w:val="22517D"/>
                <w:sz w:val="22"/>
                <w:szCs w:val="22"/>
              </w:rPr>
              <w:t>.</w:t>
            </w:r>
            <w:r w:rsidR="005E125E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402A08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Водночас на </w:t>
            </w:r>
            <w:r w:rsidR="00736BDC">
              <w:rPr>
                <w:rFonts w:ascii="Calibri" w:hAnsi="Calibri" w:cs="Calibri"/>
                <w:color w:val="22517D"/>
                <w:sz w:val="22"/>
                <w:szCs w:val="22"/>
              </w:rPr>
              <w:t>8,</w:t>
            </w:r>
            <w:r w:rsidR="00130762">
              <w:rPr>
                <w:rFonts w:ascii="Calibri" w:hAnsi="Calibri" w:cs="Calibri"/>
                <w:color w:val="22517D"/>
                <w:sz w:val="22"/>
                <w:szCs w:val="22"/>
              </w:rPr>
              <w:t>1</w:t>
            </w:r>
            <w:r w:rsidR="00402A08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 з</w:t>
            </w:r>
            <w:r w:rsidR="00402A08">
              <w:rPr>
                <w:rFonts w:ascii="Calibri" w:hAnsi="Calibri" w:cs="Calibri"/>
                <w:color w:val="22517D"/>
                <w:sz w:val="22"/>
                <w:szCs w:val="22"/>
              </w:rPr>
              <w:t>росли</w:t>
            </w:r>
            <w:r w:rsidR="00402A08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ціни</w:t>
            </w:r>
            <w:r w:rsidR="00402A08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на </w:t>
            </w:r>
            <w:r w:rsidR="00736BDC">
              <w:rPr>
                <w:rFonts w:ascii="Calibri" w:hAnsi="Calibri" w:cs="Calibri"/>
                <w:color w:val="22517D"/>
                <w:sz w:val="22"/>
                <w:szCs w:val="22"/>
              </w:rPr>
              <w:t>яйця, на 4,0</w:t>
            </w:r>
            <w:r w:rsidR="00450275">
              <w:rPr>
                <w:rFonts w:ascii="Calibri" w:hAnsi="Calibri" w:cs="Calibri"/>
                <w:color w:val="22517D"/>
                <w:sz w:val="22"/>
                <w:szCs w:val="22"/>
              </w:rPr>
              <w:t>–</w:t>
            </w:r>
            <w:r w:rsidR="004559F9">
              <w:rPr>
                <w:rFonts w:ascii="Calibri" w:hAnsi="Calibri" w:cs="Calibri"/>
                <w:color w:val="22517D"/>
                <w:sz w:val="22"/>
                <w:szCs w:val="22"/>
              </w:rPr>
              <w:t>1,3</w:t>
            </w:r>
            <w:r w:rsidR="00736BDC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="0045027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736BDC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736BDC" w:rsidRPr="00450275">
              <w:rPr>
                <w:rFonts w:ascii="Calibri" w:hAnsi="Calibri" w:cs="Calibri"/>
                <w:color w:val="22517D"/>
                <w:sz w:val="22"/>
                <w:szCs w:val="22"/>
              </w:rPr>
              <w:t>подорожчали</w:t>
            </w:r>
            <w:r w:rsidR="0045027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яловичина, масло, соняшникова олія, к</w:t>
            </w:r>
            <w:r w:rsidR="00450275" w:rsidRPr="00633E3F">
              <w:rPr>
                <w:rFonts w:ascii="Calibri" w:hAnsi="Calibri" w:cs="Calibri"/>
                <w:color w:val="22517D"/>
                <w:sz w:val="22"/>
                <w:szCs w:val="22"/>
              </w:rPr>
              <w:t>исломолочн</w:t>
            </w:r>
            <w:r w:rsidR="00450275">
              <w:rPr>
                <w:rFonts w:ascii="Calibri" w:hAnsi="Calibri" w:cs="Calibri"/>
                <w:color w:val="22517D"/>
                <w:sz w:val="22"/>
                <w:szCs w:val="22"/>
              </w:rPr>
              <w:t>а</w:t>
            </w:r>
            <w:r w:rsidR="00450275" w:rsidRPr="00633E3F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продукці</w:t>
            </w:r>
            <w:r w:rsidR="00450275">
              <w:rPr>
                <w:rFonts w:ascii="Calibri" w:hAnsi="Calibri" w:cs="Calibri"/>
                <w:color w:val="22517D"/>
                <w:sz w:val="22"/>
                <w:szCs w:val="22"/>
              </w:rPr>
              <w:t>я, м</w:t>
            </w:r>
            <w:r w:rsidR="00450275" w:rsidRPr="00D13015">
              <w:rPr>
                <w:rFonts w:ascii="Calibri" w:hAnsi="Calibri" w:cs="Calibri"/>
                <w:color w:val="22517D"/>
                <w:sz w:val="22"/>
                <w:szCs w:val="22"/>
              </w:rPr>
              <w:t>акаронні вироби</w:t>
            </w:r>
            <w:r w:rsidR="0045027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, </w:t>
            </w:r>
            <w:r w:rsidR="004559F9">
              <w:rPr>
                <w:rFonts w:ascii="Calibri" w:hAnsi="Calibri" w:cs="Calibri"/>
                <w:color w:val="22517D"/>
                <w:sz w:val="22"/>
                <w:szCs w:val="22"/>
              </w:rPr>
              <w:t>овочі, молоко, б</w:t>
            </w:r>
            <w:r w:rsidR="004559F9" w:rsidRPr="004F6ED3">
              <w:rPr>
                <w:rFonts w:ascii="Calibri" w:hAnsi="Calibri" w:cs="Calibri"/>
                <w:color w:val="22517D"/>
                <w:sz w:val="22"/>
                <w:szCs w:val="22"/>
              </w:rPr>
              <w:t>езалкогольні напої</w:t>
            </w:r>
            <w:r w:rsidR="004559F9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продукти</w:t>
            </w:r>
            <w:r w:rsidR="004559F9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переробки зернових</w:t>
            </w:r>
            <w:r w:rsidR="004559F9">
              <w:rPr>
                <w:rFonts w:ascii="Calibri" w:hAnsi="Calibri" w:cs="Calibri"/>
                <w:color w:val="22517D"/>
                <w:sz w:val="22"/>
                <w:szCs w:val="22"/>
              </w:rPr>
              <w:t>.</w:t>
            </w:r>
          </w:p>
          <w:p w14:paraId="78469B71" w14:textId="77777777" w:rsidR="000C01D6" w:rsidRPr="00450275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  <w:p w14:paraId="47C641D9" w14:textId="20DCCCFF" w:rsidR="000C01D6" w:rsidRPr="00450275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4559F9">
              <w:rPr>
                <w:rFonts w:ascii="Calibri" w:hAnsi="Calibri" w:cs="Calibri"/>
                <w:color w:val="22517D"/>
                <w:sz w:val="22"/>
                <w:szCs w:val="22"/>
              </w:rPr>
              <w:t>2,1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 </w:t>
            </w:r>
            <w:r w:rsidR="00FC5B91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у </w:t>
            </w:r>
            <w:proofErr w:type="spellStart"/>
            <w:r w:rsidR="00FC5B91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т.ч</w:t>
            </w:r>
            <w:proofErr w:type="spellEnd"/>
            <w:r w:rsidR="00FC5B91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. на</w:t>
            </w:r>
            <w:r w:rsidR="002774A0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тютюнові вироби – на </w:t>
            </w:r>
            <w:r w:rsidR="002774A0">
              <w:rPr>
                <w:rFonts w:ascii="Calibri" w:hAnsi="Calibri" w:cs="Calibri"/>
                <w:color w:val="22517D"/>
                <w:sz w:val="22"/>
                <w:szCs w:val="22"/>
              </w:rPr>
              <w:t>3,0</w:t>
            </w:r>
            <w:r w:rsidR="002774A0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="002774A0">
              <w:rPr>
                <w:rFonts w:ascii="Calibri" w:hAnsi="Calibri" w:cs="Calibri"/>
                <w:color w:val="22517D"/>
                <w:sz w:val="22"/>
                <w:szCs w:val="22"/>
              </w:rPr>
              <w:t>,</w:t>
            </w:r>
            <w:r w:rsidR="00FC5B91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="00FC5B91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алкогольні напої – на </w:t>
            </w:r>
            <w:r w:rsidR="002774A0">
              <w:rPr>
                <w:rFonts w:ascii="Calibri" w:hAnsi="Calibri" w:cs="Calibri"/>
                <w:color w:val="22517D"/>
                <w:sz w:val="22"/>
                <w:szCs w:val="22"/>
              </w:rPr>
              <w:t>0,7</w:t>
            </w:r>
            <w:r w:rsidR="00FC5B91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%.</w:t>
            </w:r>
          </w:p>
          <w:p w14:paraId="1BD90F28" w14:textId="77777777" w:rsidR="000C01D6" w:rsidRPr="00450275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  <w:p w14:paraId="46532B19" w14:textId="073B339D" w:rsidR="003A2E2D" w:rsidRDefault="000C01D6" w:rsidP="00574D39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Одяг і взуття </w:t>
            </w:r>
            <w:r w:rsidR="00574D39" w:rsidRPr="00574D39">
              <w:rPr>
                <w:rFonts w:ascii="Calibri" w:hAnsi="Calibri" w:cs="Calibri"/>
                <w:color w:val="22517D"/>
                <w:sz w:val="22"/>
                <w:szCs w:val="22"/>
              </w:rPr>
              <w:t>подешевшали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на </w:t>
            </w:r>
            <w:r w:rsidR="00574D39">
              <w:rPr>
                <w:rFonts w:ascii="Calibri" w:hAnsi="Calibri" w:cs="Calibri"/>
                <w:color w:val="22517D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,3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 зокрема, взуття – </w:t>
            </w:r>
            <w:r w:rsidR="00574D39">
              <w:rPr>
                <w:rFonts w:ascii="Calibri" w:hAnsi="Calibri" w:cs="Calibri"/>
                <w:color w:val="22517D"/>
                <w:sz w:val="22"/>
                <w:szCs w:val="22"/>
              </w:rPr>
              <w:t>1,7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="00574D39">
              <w:rPr>
                <w:rFonts w:ascii="Calibri" w:hAnsi="Calibri" w:cs="Calibri"/>
                <w:color w:val="22517D"/>
                <w:sz w:val="22"/>
                <w:szCs w:val="22"/>
              </w:rPr>
              <w:t>,</w:t>
            </w:r>
            <w:r w:rsidR="00574D39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одяг – </w:t>
            </w:r>
            <w:r w:rsidR="00574D39">
              <w:rPr>
                <w:rFonts w:ascii="Calibri" w:hAnsi="Calibri" w:cs="Calibri"/>
                <w:color w:val="22517D"/>
                <w:sz w:val="22"/>
                <w:szCs w:val="22"/>
              </w:rPr>
              <w:t>1,0</w:t>
            </w:r>
            <w:r w:rsidR="00574D39"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%,</w:t>
            </w:r>
          </w:p>
          <w:p w14:paraId="396C2124" w14:textId="77777777" w:rsidR="004559F9" w:rsidRPr="00450275" w:rsidRDefault="004559F9" w:rsidP="000C01D6">
            <w:pPr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  <w:p w14:paraId="5F65D1F0" w14:textId="1737D086" w:rsidR="000C01D6" w:rsidRPr="00450275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>Зростання цін (тарифів) на житло, воду, електроенергію, газ та інші види палива на 0,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5</w:t>
            </w: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 відбулося </w:t>
            </w:r>
            <w:r w:rsidR="00481F5E" w:rsidRPr="00481F5E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в основному </w:t>
            </w: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через підвищення цін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т</w:t>
            </w: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верде паливо на </w:t>
            </w:r>
            <w:r w:rsidR="00C56C11">
              <w:rPr>
                <w:rFonts w:ascii="Calibri" w:hAnsi="Calibri" w:cs="Calibri"/>
                <w:color w:val="22517D"/>
                <w:sz w:val="22"/>
                <w:szCs w:val="22"/>
              </w:rPr>
              <w:t>10,4</w:t>
            </w: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="00481F5E" w:rsidRPr="0083231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81F5E">
              <w:rPr>
                <w:rFonts w:ascii="Calibri" w:hAnsi="Calibri" w:cs="Calibri"/>
                <w:color w:val="22517D"/>
                <w:sz w:val="22"/>
                <w:szCs w:val="22"/>
              </w:rPr>
              <w:t>та</w:t>
            </w:r>
            <w:r w:rsidR="00481F5E" w:rsidRPr="0083231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81F5E" w:rsidRPr="00481F5E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оренду житла на </w:t>
            </w:r>
            <w:r w:rsidR="00481F5E">
              <w:rPr>
                <w:rFonts w:ascii="Calibri" w:hAnsi="Calibri" w:cs="Calibri"/>
                <w:color w:val="22517D"/>
                <w:sz w:val="22"/>
                <w:szCs w:val="22"/>
              </w:rPr>
              <w:t>0,8</w:t>
            </w:r>
            <w:r w:rsidR="00481F5E" w:rsidRPr="00481F5E">
              <w:rPr>
                <w:rFonts w:ascii="Calibri" w:hAnsi="Calibri" w:cs="Calibri"/>
                <w:color w:val="22517D"/>
                <w:sz w:val="22"/>
                <w:szCs w:val="22"/>
              </w:rPr>
              <w:t>%.</w:t>
            </w:r>
            <w:r w:rsidR="00481F5E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</w:p>
          <w:p w14:paraId="6033C36B" w14:textId="77777777" w:rsidR="000C01D6" w:rsidRPr="00450275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  <w:p w14:paraId="35659BC3" w14:textId="0A19D57C" w:rsidR="00F41177" w:rsidRPr="00F41177" w:rsidRDefault="00F41177" w:rsidP="00F41177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F41177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Ціни на транспорт зросли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0,2</w:t>
            </w:r>
            <w:r w:rsidRPr="00F41177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="001B4655">
              <w:rPr>
                <w:rFonts w:ascii="Calibri" w:hAnsi="Calibri" w:cs="Calibri"/>
                <w:color w:val="22517D"/>
                <w:sz w:val="22"/>
                <w:szCs w:val="22"/>
              </w:rPr>
              <w:t>,</w:t>
            </w:r>
            <w:r w:rsidR="001B4655" w:rsidRPr="00495C84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що пов’язано з подорожчанням</w:t>
            </w:r>
            <w:r w:rsidR="001B4655" w:rsidRPr="00F41177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Pr="00F41177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палива та мастил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0,4</w:t>
            </w:r>
            <w:r w:rsidRPr="00F41177">
              <w:rPr>
                <w:rFonts w:ascii="Calibri" w:hAnsi="Calibri" w:cs="Calibri"/>
                <w:color w:val="22517D"/>
                <w:sz w:val="22"/>
                <w:szCs w:val="22"/>
              </w:rPr>
              <w:t>%.</w:t>
            </w:r>
          </w:p>
          <w:p w14:paraId="78C67C2D" w14:textId="77777777" w:rsidR="00F41177" w:rsidRPr="00450275" w:rsidRDefault="00F41177" w:rsidP="00C56C11">
            <w:pPr>
              <w:ind w:left="57" w:firstLine="567"/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  <w:p w14:paraId="3CF35DE4" w14:textId="77777777" w:rsidR="000C01D6" w:rsidRPr="00450275" w:rsidRDefault="000C01D6" w:rsidP="000C01D6">
            <w:pPr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  <w:p w14:paraId="015F9F8E" w14:textId="3CFD748B" w:rsidR="00273B54" w:rsidRPr="00450275" w:rsidRDefault="00273B54" w:rsidP="00273B54">
            <w:pPr>
              <w:jc w:val="both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74B1E056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78785DE7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4442623B">
                  <wp:extent cx="3061252" cy="1129665"/>
                  <wp:effectExtent l="0" t="0" r="635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67F6077C" w14:textId="77777777" w:rsidR="001B679F" w:rsidRDefault="006E3757" w:rsidP="001B679F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</w:p>
          <w:p w14:paraId="7E9EBC46" w14:textId="648A0AF8" w:rsidR="00246029" w:rsidRPr="006E3757" w:rsidRDefault="001B679F" w:rsidP="001B679F">
            <w:pPr>
              <w:jc w:val="both"/>
              <w:rPr>
                <w:rFonts w:cs="Calibri"/>
                <w:color w:val="22517D"/>
                <w:u w:val="single"/>
              </w:rPr>
            </w:pPr>
            <w:r w:rsidRPr="001B679F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https://stat.gov.ua/sites/default/files/migration/files/2023/190_2023/190_2023.pdf</w:t>
            </w:r>
            <w:r>
              <w:t>.</w:t>
            </w: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769DEEF0" w14:textId="77777777" w:rsidR="00F4170D" w:rsidRPr="008C2858" w:rsidRDefault="00F4170D" w:rsidP="00F4170D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. 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(</w:t>
            </w:r>
            <w:r w:rsidRPr="008156AE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044) 486-86-14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; </w:t>
            </w:r>
            <w:proofErr w:type="spellStart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e-mail: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kous@kyivobl.ukrstat.gov.ua</w:t>
            </w:r>
            <w:proofErr w:type="spellEnd"/>
          </w:p>
          <w:p w14:paraId="23E467FF" w14:textId="77777777" w:rsidR="00F4170D" w:rsidRPr="008C2858" w:rsidRDefault="00F4170D" w:rsidP="00F4170D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kyivobl.ukrstat.gov.ua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0C767064" w:rsidR="00356050" w:rsidRPr="00356050" w:rsidRDefault="00F4170D" w:rsidP="00F4170D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Головне управління статистики у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Київській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E31B1" w14:textId="77777777" w:rsidR="009779C5" w:rsidRDefault="009779C5" w:rsidP="005345A4">
      <w:r>
        <w:separator/>
      </w:r>
    </w:p>
  </w:endnote>
  <w:endnote w:type="continuationSeparator" w:id="0">
    <w:p w14:paraId="29C17F33" w14:textId="77777777" w:rsidR="009779C5" w:rsidRDefault="009779C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511748023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422266872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88582657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AFC31E5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627BD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F57C0" w14:textId="77777777" w:rsidR="009779C5" w:rsidRDefault="009779C5" w:rsidP="005345A4">
      <w:r>
        <w:separator/>
      </w:r>
    </w:p>
  </w:footnote>
  <w:footnote w:type="continuationSeparator" w:id="0">
    <w:p w14:paraId="08D6F47F" w14:textId="77777777" w:rsidR="009779C5" w:rsidRDefault="009779C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9pt;height:9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294"/>
    <w:rsid w:val="00005F9C"/>
    <w:rsid w:val="00014871"/>
    <w:rsid w:val="00015006"/>
    <w:rsid w:val="00015105"/>
    <w:rsid w:val="000161D7"/>
    <w:rsid w:val="00020772"/>
    <w:rsid w:val="0002684B"/>
    <w:rsid w:val="000270CF"/>
    <w:rsid w:val="00032107"/>
    <w:rsid w:val="00033FB7"/>
    <w:rsid w:val="00036C25"/>
    <w:rsid w:val="00036E1E"/>
    <w:rsid w:val="00041033"/>
    <w:rsid w:val="00041E05"/>
    <w:rsid w:val="00045C8C"/>
    <w:rsid w:val="0005746D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878E1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01D6"/>
    <w:rsid w:val="000C2BAC"/>
    <w:rsid w:val="000C43BC"/>
    <w:rsid w:val="000C4ED4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1BE0"/>
    <w:rsid w:val="00127DC4"/>
    <w:rsid w:val="00130762"/>
    <w:rsid w:val="0013141E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6781B"/>
    <w:rsid w:val="0017140C"/>
    <w:rsid w:val="001735B4"/>
    <w:rsid w:val="00173727"/>
    <w:rsid w:val="00176453"/>
    <w:rsid w:val="00176D59"/>
    <w:rsid w:val="00177C5D"/>
    <w:rsid w:val="00181A10"/>
    <w:rsid w:val="00183730"/>
    <w:rsid w:val="001909B1"/>
    <w:rsid w:val="0019449F"/>
    <w:rsid w:val="001945B0"/>
    <w:rsid w:val="001972A8"/>
    <w:rsid w:val="00197F57"/>
    <w:rsid w:val="001A05A7"/>
    <w:rsid w:val="001A3F59"/>
    <w:rsid w:val="001B4503"/>
    <w:rsid w:val="001B4655"/>
    <w:rsid w:val="001B6234"/>
    <w:rsid w:val="001B679F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2A09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4382"/>
    <w:rsid w:val="00275999"/>
    <w:rsid w:val="002774A0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066"/>
    <w:rsid w:val="003323CE"/>
    <w:rsid w:val="00332707"/>
    <w:rsid w:val="00332E5F"/>
    <w:rsid w:val="00333B6A"/>
    <w:rsid w:val="00334A12"/>
    <w:rsid w:val="003364B9"/>
    <w:rsid w:val="003375F6"/>
    <w:rsid w:val="0034107B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5AD8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B37"/>
    <w:rsid w:val="003B0FED"/>
    <w:rsid w:val="003B1D10"/>
    <w:rsid w:val="003B2F85"/>
    <w:rsid w:val="003B57DF"/>
    <w:rsid w:val="003B5A6A"/>
    <w:rsid w:val="003B798B"/>
    <w:rsid w:val="003C14B3"/>
    <w:rsid w:val="003C15BF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241F"/>
    <w:rsid w:val="003F7681"/>
    <w:rsid w:val="00401D3F"/>
    <w:rsid w:val="00402A08"/>
    <w:rsid w:val="00403106"/>
    <w:rsid w:val="0040421B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275"/>
    <w:rsid w:val="004506F4"/>
    <w:rsid w:val="00450A8B"/>
    <w:rsid w:val="00451230"/>
    <w:rsid w:val="00452E6F"/>
    <w:rsid w:val="0045497D"/>
    <w:rsid w:val="004559F9"/>
    <w:rsid w:val="00455B4B"/>
    <w:rsid w:val="00456CC6"/>
    <w:rsid w:val="00457B82"/>
    <w:rsid w:val="0046258D"/>
    <w:rsid w:val="00463544"/>
    <w:rsid w:val="00464B9F"/>
    <w:rsid w:val="004650F4"/>
    <w:rsid w:val="0046766F"/>
    <w:rsid w:val="0047102E"/>
    <w:rsid w:val="00471705"/>
    <w:rsid w:val="0047250F"/>
    <w:rsid w:val="00472928"/>
    <w:rsid w:val="00476523"/>
    <w:rsid w:val="00476F0F"/>
    <w:rsid w:val="00480431"/>
    <w:rsid w:val="00481F5E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DB7"/>
    <w:rsid w:val="004A7FF8"/>
    <w:rsid w:val="004B14E2"/>
    <w:rsid w:val="004B348D"/>
    <w:rsid w:val="004C0BE4"/>
    <w:rsid w:val="004C104B"/>
    <w:rsid w:val="004C180E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4D39"/>
    <w:rsid w:val="005756D8"/>
    <w:rsid w:val="005805F8"/>
    <w:rsid w:val="00580FB3"/>
    <w:rsid w:val="00590EBA"/>
    <w:rsid w:val="00593BAF"/>
    <w:rsid w:val="00593E50"/>
    <w:rsid w:val="0059709F"/>
    <w:rsid w:val="00597A77"/>
    <w:rsid w:val="005A1FDD"/>
    <w:rsid w:val="005A2665"/>
    <w:rsid w:val="005A33D3"/>
    <w:rsid w:val="005A5323"/>
    <w:rsid w:val="005A7E9A"/>
    <w:rsid w:val="005B0CA6"/>
    <w:rsid w:val="005B25D2"/>
    <w:rsid w:val="005B38C8"/>
    <w:rsid w:val="005B50D4"/>
    <w:rsid w:val="005B5B06"/>
    <w:rsid w:val="005B5E7D"/>
    <w:rsid w:val="005B6829"/>
    <w:rsid w:val="005C2EC8"/>
    <w:rsid w:val="005C48D8"/>
    <w:rsid w:val="005C546A"/>
    <w:rsid w:val="005C615B"/>
    <w:rsid w:val="005C6559"/>
    <w:rsid w:val="005D0BEE"/>
    <w:rsid w:val="005D115F"/>
    <w:rsid w:val="005D225C"/>
    <w:rsid w:val="005D459A"/>
    <w:rsid w:val="005D4CB7"/>
    <w:rsid w:val="005E125E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D6B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05E8"/>
    <w:rsid w:val="00636A5D"/>
    <w:rsid w:val="00641EE2"/>
    <w:rsid w:val="006438DC"/>
    <w:rsid w:val="00651839"/>
    <w:rsid w:val="00653544"/>
    <w:rsid w:val="00654D22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4EE4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6BD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0AAE"/>
    <w:rsid w:val="007C35C2"/>
    <w:rsid w:val="007C4457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22D6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355"/>
    <w:rsid w:val="00846649"/>
    <w:rsid w:val="00846C6B"/>
    <w:rsid w:val="00854F1C"/>
    <w:rsid w:val="008571A5"/>
    <w:rsid w:val="00857D6C"/>
    <w:rsid w:val="00860C51"/>
    <w:rsid w:val="00860FC1"/>
    <w:rsid w:val="008627BD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947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779C5"/>
    <w:rsid w:val="00985DAE"/>
    <w:rsid w:val="00986C79"/>
    <w:rsid w:val="00987E08"/>
    <w:rsid w:val="00991DE4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A7D"/>
    <w:rsid w:val="009D7C33"/>
    <w:rsid w:val="009E1E14"/>
    <w:rsid w:val="009F11E6"/>
    <w:rsid w:val="009F1643"/>
    <w:rsid w:val="009F1BC9"/>
    <w:rsid w:val="009F7EBB"/>
    <w:rsid w:val="00A029E8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3C84"/>
    <w:rsid w:val="00A85599"/>
    <w:rsid w:val="00A859E3"/>
    <w:rsid w:val="00A87C9B"/>
    <w:rsid w:val="00A90AF4"/>
    <w:rsid w:val="00A9131F"/>
    <w:rsid w:val="00A9250B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C569A"/>
    <w:rsid w:val="00AD3F54"/>
    <w:rsid w:val="00AD5329"/>
    <w:rsid w:val="00AD5CA7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41FB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23BA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6C1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0C8E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32ED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8A5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4784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87E21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177"/>
    <w:rsid w:val="00F4170D"/>
    <w:rsid w:val="00F4196F"/>
    <w:rsid w:val="00F4211F"/>
    <w:rsid w:val="00F46B32"/>
    <w:rsid w:val="00F46E7F"/>
    <w:rsid w:val="00F502DF"/>
    <w:rsid w:val="00F525CA"/>
    <w:rsid w:val="00F53C17"/>
    <w:rsid w:val="00F55B35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5B91"/>
    <w:rsid w:val="00FC7B1A"/>
    <w:rsid w:val="00FD6173"/>
    <w:rsid w:val="00FE0719"/>
    <w:rsid w:val="00FE2182"/>
    <w:rsid w:val="00FE368F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88557547327861"/>
          <c:y val="5.4072321730314295E-2"/>
          <c:w val="0.82064173669220797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3459900845727616E-2"/>
                  <c:y val="-6.626525127035315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6.64951371560078E-2"/>
                      <c:h val="0.1996961092942125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508019830854518E-2"/>
                  <c:y val="3.7203509678211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4370453693288383E-2"/>
                  <c:y val="-2.1257029457871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508019830854518E-2"/>
                  <c:y val="-4.7239491296131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508019830854477E-2"/>
                  <c:y val="3.0707894218646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24459442647E-2"/>
                  <c:y val="-3.6348338886999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511119443402908E-2"/>
                  <c:y val="-4.074387583656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90826146731737E-2"/>
                  <c:y val="4.691266466001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0335541390659423E-2"/>
                  <c:y val="-4.9339569806128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8835062283881338E-2"/>
                  <c:y val="-6.421989959926656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8.0582306830907044E-2"/>
                      <c:h val="0.14562378756389821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5.3975586385035204E-2"/>
                  <c:y val="-4.5211529461707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5506645002707992E-2"/>
                  <c:y val="-5.688573598647690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1.6</c:v>
                </c:pt>
                <c:pt idx="1">
                  <c:v>1.3</c:v>
                </c:pt>
                <c:pt idx="2">
                  <c:v>0.8</c:v>
                </c:pt>
                <c:pt idx="3" formatCode="0.0">
                  <c:v>1</c:v>
                </c:pt>
                <c:pt idx="4">
                  <c:v>1.5</c:v>
                </c:pt>
                <c:pt idx="5">
                  <c:v>0.6</c:v>
                </c:pt>
                <c:pt idx="6">
                  <c:v>1.4</c:v>
                </c:pt>
                <c:pt idx="7">
                  <c:v>0.6</c:v>
                </c:pt>
                <c:pt idx="8">
                  <c:v>-0.1</c:v>
                </c:pt>
                <c:pt idx="9">
                  <c:v>0.4</c:v>
                </c:pt>
                <c:pt idx="10">
                  <c:v>0.3</c:v>
                </c:pt>
                <c:pt idx="11">
                  <c:v>0.8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3736992"/>
        <c:axId val="233737552"/>
      </c:lineChart>
      <c:catAx>
        <c:axId val="233736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3737552"/>
        <c:crosses val="autoZero"/>
        <c:auto val="1"/>
        <c:lblAlgn val="ctr"/>
        <c:lblOffset val="100"/>
        <c:noMultiLvlLbl val="0"/>
      </c:catAx>
      <c:valAx>
        <c:axId val="233737552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373699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9048240470501182E-2"/>
                  <c:y val="-5.0642241872520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9.0403223673188746E-2"/>
                  <c:y val="-2.1534195687519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0.8</c:v>
                </c:pt>
                <c:pt idx="1">
                  <c:v>1.8</c:v>
                </c:pt>
                <c:pt idx="2">
                  <c:v>3.3</c:v>
                </c:pt>
                <c:pt idx="3" formatCode="0.0">
                  <c:v>4</c:v>
                </c:pt>
                <c:pt idx="4">
                  <c:v>5.4</c:v>
                </c:pt>
                <c:pt idx="5" formatCode="0.0">
                  <c:v>6</c:v>
                </c:pt>
                <c:pt idx="6">
                  <c:v>5.9</c:v>
                </c:pt>
                <c:pt idx="7">
                  <c:v>6.4</c:v>
                </c:pt>
                <c:pt idx="8">
                  <c:v>6.7</c:v>
                </c:pt>
                <c:pt idx="9">
                  <c:v>7.5</c:v>
                </c:pt>
                <c:pt idx="10">
                  <c:v>7.9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3739792"/>
        <c:axId val="233740352"/>
      </c:lineChart>
      <c:catAx>
        <c:axId val="23373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3740352"/>
        <c:crosses val="autoZero"/>
        <c:auto val="1"/>
        <c:lblAlgn val="ctr"/>
        <c:lblOffset val="100"/>
        <c:noMultiLvlLbl val="0"/>
      </c:catAx>
      <c:valAx>
        <c:axId val="233740352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3739792"/>
        <c:crosses val="autoZero"/>
        <c:crossBetween val="midCat"/>
        <c:min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8.0018999945192272E-3"/>
                  <c:y val="3.5747765930607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5698538631837882E-2"/>
                  <c:y val="-2.6991187652976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639821493521956E-2"/>
                  <c:y val="4.0462437979400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F96-43A6-AF41-25946ED7620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119045285970807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119045285970807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912693258839376E-2"/>
                  <c:y val="-7.051736576772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9656306935478322E-2"/>
                  <c:y val="1.16831095944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0807929487616065E-2"/>
                  <c:y val="-5.927509482899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0376594193390876"/>
                  <c:y val="-2.9785821460344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622980633010412E-2"/>
                  <c:y val="5.6587572421912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5.3022798794332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111E-2"/>
                  <c:y val="-4.5964954212089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6.64577551752067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2.9</c:v>
                </c:pt>
                <c:pt idx="1">
                  <c:v>1.7</c:v>
                </c:pt>
                <c:pt idx="2">
                  <c:v>0.5</c:v>
                </c:pt>
                <c:pt idx="3">
                  <c:v>1.5</c:v>
                </c:pt>
                <c:pt idx="4">
                  <c:v>1.7</c:v>
                </c:pt>
                <c:pt idx="5" formatCode="0.0">
                  <c:v>2</c:v>
                </c:pt>
                <c:pt idx="6">
                  <c:v>2.8</c:v>
                </c:pt>
                <c:pt idx="7">
                  <c:v>0.9</c:v>
                </c:pt>
                <c:pt idx="8">
                  <c:v>-0.9</c:v>
                </c:pt>
                <c:pt idx="9">
                  <c:v>-0.3</c:v>
                </c:pt>
                <c:pt idx="10">
                  <c:v>-0.7</c:v>
                </c:pt>
                <c:pt idx="11">
                  <c:v>1.5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6109264"/>
        <c:axId val="236109824"/>
      </c:lineChart>
      <c:catAx>
        <c:axId val="236109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109824"/>
        <c:crosses val="autoZero"/>
        <c:auto val="1"/>
        <c:lblAlgn val="ctr"/>
        <c:lblOffset val="200"/>
        <c:noMultiLvlLbl val="0"/>
      </c:catAx>
      <c:valAx>
        <c:axId val="23610982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1092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9E-2"/>
                  <c:y val="-6.5432672517958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56E-2"/>
                  <c:y val="6.7829843360642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77460318514819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5560838854224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37564585696604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119045285970842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556083885422435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58074893665072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-6.707740790411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85169745576784E-2"/>
                  <c:y val="-7.0642181531693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1935602808138747E-3"/>
                  <c:y val="-6.84494960895486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 formatCode="General">
                  <c:v>0.1</c:v>
                </c:pt>
                <c:pt idx="1">
                  <c:v>0</c:v>
                </c:pt>
                <c:pt idx="2" formatCode="General">
                  <c:v>0.2</c:v>
                </c:pt>
                <c:pt idx="3" formatCode="General">
                  <c:v>0.4</c:v>
                </c:pt>
                <c:pt idx="4" formatCode="General">
                  <c:v>0.1</c:v>
                </c:pt>
                <c:pt idx="5" formatCode="General">
                  <c:v>0.1</c:v>
                </c:pt>
                <c:pt idx="6" formatCode="General">
                  <c:v>0.3</c:v>
                </c:pt>
                <c:pt idx="7">
                  <c:v>0</c:v>
                </c:pt>
                <c:pt idx="8" formatCode="General">
                  <c:v>0.1</c:v>
                </c:pt>
                <c:pt idx="9" formatCode="General">
                  <c:v>0.7</c:v>
                </c:pt>
                <c:pt idx="10" formatCode="General">
                  <c:v>0.2</c:v>
                </c:pt>
                <c:pt idx="11" formatCode="General">
                  <c:v>0.5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6112064"/>
        <c:axId val="236112624"/>
      </c:lineChart>
      <c:catAx>
        <c:axId val="236112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112624"/>
        <c:crosses val="autoZero"/>
        <c:auto val="1"/>
        <c:lblAlgn val="ctr"/>
        <c:lblOffset val="200"/>
        <c:noMultiLvlLbl val="0"/>
      </c:catAx>
      <c:valAx>
        <c:axId val="23611262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1120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748645055731659E-2"/>
                  <c:y val="-6.5432672517958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554555680539934E-2"/>
                  <c:y val="3.4103030544453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65592937246480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9.5259910692981592E-2"/>
                  <c:y val="4.190534361956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0627876060946925E-2"/>
                  <c:y val="4.1905343619568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8.8036268193748587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8.1958959675495102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6240924429900802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310120325868357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282612400722799E-2"/>
                  <c:y val="4.1780527855603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843728558826414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3200575031855459E-2"/>
                  <c:y val="-6.84494960895486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</c:v>
                </c:pt>
                <c:pt idx="2" formatCode="General">
                  <c:v>1.4</c:v>
                </c:pt>
                <c:pt idx="3" formatCode="General">
                  <c:v>0.7</c:v>
                </c:pt>
                <c:pt idx="4" formatCode="General">
                  <c:v>-0.1</c:v>
                </c:pt>
                <c:pt idx="5" formatCode="General">
                  <c:v>-0.5</c:v>
                </c:pt>
                <c:pt idx="6" formatCode="General">
                  <c:v>0.1</c:v>
                </c:pt>
                <c:pt idx="7" formatCode="General">
                  <c:v>0.8</c:v>
                </c:pt>
                <c:pt idx="8" formatCode="General">
                  <c:v>2.5</c:v>
                </c:pt>
                <c:pt idx="9" formatCode="General">
                  <c:v>0.2</c:v>
                </c:pt>
                <c:pt idx="10">
                  <c:v>0</c:v>
                </c:pt>
                <c:pt idx="11" formatCode="General">
                  <c:v>0.2</c:v>
                </c:pt>
                <c:pt idx="12" formatCode="General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6114864"/>
        <c:axId val="236115424"/>
      </c:lineChart>
      <c:catAx>
        <c:axId val="236114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115424"/>
        <c:crosses val="autoZero"/>
        <c:auto val="1"/>
        <c:lblAlgn val="ctr"/>
        <c:lblOffset val="200"/>
        <c:noMultiLvlLbl val="0"/>
      </c:catAx>
      <c:valAx>
        <c:axId val="23611542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61148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737223-48FB-4730-AB30-D880F32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3446</Words>
  <Characters>1965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User32</cp:lastModifiedBy>
  <cp:revision>70</cp:revision>
  <dcterms:created xsi:type="dcterms:W3CDTF">2025-09-19T08:12:00Z</dcterms:created>
  <dcterms:modified xsi:type="dcterms:W3CDTF">2025-12-11T09:45:00Z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